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widowControl w:val="false"/>
        <w:spacing w:after="28" w:before="0"/>
        <w:jc w:val="center"/>
      </w:pPr>
      <w:r>
        <w:rPr>
          <w:rFonts w:ascii="Times New Roman" w:hAnsi="Times New Roman"/>
          <w:b/>
          <w:sz w:val="28"/>
          <w:szCs w:val="28"/>
        </w:rPr>
        <w:t>Заявление ученых и преподавателей ЧелГУ</w:t>
      </w:r>
    </w:p>
    <w:p>
      <w:pPr>
        <w:pStyle w:val="style0"/>
        <w:widowControl w:val="false"/>
        <w:spacing w:after="0" w:before="0" w:line="264" w:lineRule="auto"/>
        <w:ind w:firstLine="567" w:left="0" w:right="0"/>
        <w:jc w:val="both"/>
      </w:pPr>
      <w:r>
        <w:rPr>
          <w:rFonts w:ascii="Times New Roman" w:hAnsi="Times New Roman"/>
          <w:sz w:val="28"/>
          <w:szCs w:val="28"/>
        </w:rPr>
        <w:t xml:space="preserve">В последнее время в ряде печатных и интернет-СМИ появилось много материалов негативного характера о Челябинском государственном университете. Считаем, что большинство из них имеют признаки заказных публикаций и выходят в свет в рамках проводимой в чьих-то интересах </w:t>
      </w:r>
      <w:r>
        <w:rPr>
          <w:rFonts w:ascii="Times New Roman" w:hAnsi="Times New Roman"/>
          <w:sz w:val="28"/>
          <w:szCs w:val="28"/>
          <w:lang w:val="en-US"/>
        </w:rPr>
        <w:t>PR</w:t>
      </w:r>
      <w:r>
        <w:rPr>
          <w:rFonts w:ascii="Times New Roman" w:hAnsi="Times New Roman"/>
          <w:sz w:val="28"/>
          <w:szCs w:val="28"/>
        </w:rPr>
        <w:t>-кампании. Мы, коллектив преподавателей и сотрудников Челябинского государственного университета, заявляем о недопустимости и пагубности таких действий.</w:t>
      </w:r>
    </w:p>
    <w:p>
      <w:pPr>
        <w:pStyle w:val="style0"/>
        <w:widowControl w:val="false"/>
        <w:spacing w:after="0" w:before="0" w:line="264" w:lineRule="auto"/>
        <w:ind w:hanging="0" w:left="0" w:right="0"/>
        <w:jc w:val="both"/>
      </w:pPr>
      <w:r>
        <w:rPr>
          <w:rFonts w:ascii="Times New Roman" w:hAnsi="Times New Roman"/>
          <w:sz w:val="28"/>
          <w:szCs w:val="28"/>
        </w:rPr>
        <w:t>Мы уверены, что общественным мнением пытаются манипулировать с целью дестабилизации ситуации в ЧелГУ, на пустом месте организовывая череду скандалов вокруг одного из лучших вузов региона. Не исключаем, что тем самым некоторые заинтересованные люди пытаются сорвать демократическую процедуру выборов ректора.</w:t>
      </w:r>
    </w:p>
    <w:p>
      <w:pPr>
        <w:pStyle w:val="style0"/>
        <w:widowControl w:val="false"/>
        <w:spacing w:after="0" w:before="0" w:line="264" w:lineRule="auto"/>
        <w:ind w:firstLine="567" w:left="0" w:right="0"/>
        <w:jc w:val="both"/>
      </w:pPr>
      <w:r>
        <w:rPr>
          <w:rFonts w:ascii="Times New Roman" w:hAnsi="Times New Roman"/>
          <w:sz w:val="28"/>
          <w:szCs w:val="28"/>
        </w:rPr>
        <w:t>Мы хотим напомнить, что Челябинский государственный университет как один из ведущих и крупных вузов Южного Урала всегда являлся примером для подражания в системе высшего образования региона. Дважды за последние годы университет (и его филиалы) признавался эффективным вузом, и это стало результатом взвешенной политики, ориентированной на качественное образование, инновации, государственность и патриотизм. Под руководством ректора А.Ю. Шатина вуз дважды успешно проходил процедуру аккредитации, ежегодные плановые проверки Рособрнадзора и других контролирующих органов.</w:t>
      </w:r>
    </w:p>
    <w:p>
      <w:pPr>
        <w:pStyle w:val="style0"/>
        <w:widowControl w:val="false"/>
        <w:spacing w:after="0" w:before="0" w:line="264" w:lineRule="auto"/>
        <w:ind w:firstLine="567" w:left="0" w:right="0"/>
        <w:jc w:val="both"/>
      </w:pPr>
      <w:r>
        <w:rPr>
          <w:rFonts w:ascii="Times New Roman" w:hAnsi="Times New Roman"/>
          <w:sz w:val="28"/>
          <w:szCs w:val="28"/>
        </w:rPr>
        <w:t>Утверждая, что ЧелГУ является одним из самых эффективных вузов региона, п</w:t>
      </w:r>
      <w:r>
        <w:rPr>
          <w:rFonts w:ascii="Times New Roman" w:hAnsi="Times New Roman"/>
          <w:sz w:val="28"/>
        </w:rPr>
        <w:t>риведем в доказательство некоторые факты:</w:t>
      </w:r>
    </w:p>
    <w:p>
      <w:pPr>
        <w:pStyle w:val="style0"/>
        <w:numPr>
          <w:ilvl w:val="0"/>
          <w:numId w:val="1"/>
        </w:numPr>
        <w:tabs>
          <w:tab w:leader="none" w:pos="1287" w:val="left"/>
        </w:tabs>
        <w:spacing w:after="0" w:before="0" w:line="100" w:lineRule="atLeast"/>
        <w:ind w:hanging="360" w:left="1287" w:right="0"/>
        <w:jc w:val="both"/>
      </w:pPr>
      <w:r>
        <w:rPr>
          <w:rFonts w:ascii="Times New Roman" w:hAnsi="Times New Roman"/>
          <w:sz w:val="28"/>
        </w:rPr>
        <w:t>По результатам мониторинга эффективности вузов Минобрнауки России в 2012 и 2013 гг. ЧелГУ признан самым эффективным университетом Южного Урала.</w:t>
      </w:r>
    </w:p>
    <w:p>
      <w:pPr>
        <w:pStyle w:val="style0"/>
        <w:numPr>
          <w:ilvl w:val="0"/>
          <w:numId w:val="1"/>
        </w:numPr>
        <w:tabs>
          <w:tab w:leader="none" w:pos="1287" w:val="left"/>
        </w:tabs>
        <w:spacing w:after="0" w:before="0" w:line="100" w:lineRule="atLeast"/>
        <w:ind w:hanging="360" w:left="1287" w:right="0"/>
        <w:jc w:val="both"/>
      </w:pPr>
      <w:r>
        <w:rPr>
          <w:rFonts w:ascii="Times New Roman" w:hAnsi="Times New Roman"/>
          <w:sz w:val="28"/>
        </w:rPr>
        <w:t>Введен в эксплуатацию Театральный корпус ЧелГУ (который имеется у единственного университета в УрФО), ставший культурным, административным и просветительским центром Челябинска, благодаря которому большое количество студентов могут реализовать свои творческие таланты.</w:t>
      </w:r>
    </w:p>
    <w:p>
      <w:pPr>
        <w:pStyle w:val="style0"/>
        <w:numPr>
          <w:ilvl w:val="0"/>
          <w:numId w:val="1"/>
        </w:numPr>
        <w:tabs>
          <w:tab w:leader="none" w:pos="1287" w:val="left"/>
        </w:tabs>
        <w:spacing w:after="0" w:before="0" w:line="100" w:lineRule="atLeast"/>
        <w:ind w:hanging="360" w:left="1287" w:right="0"/>
        <w:jc w:val="both"/>
      </w:pPr>
      <w:r>
        <w:rPr>
          <w:rFonts w:ascii="Times New Roman" w:hAnsi="Times New Roman"/>
          <w:sz w:val="28"/>
        </w:rPr>
        <w:t>Сформировалась и оснащается современным оборудованием одна из лучших в России научных школ в области физики твердого тела и магнетизма, соответствующая международному уровню. В ЧелГУ созданы самые сильные в мире постоянные магниты. Уровень исследований и результатов подтвержден международными индексами цитирования, грантами Президента РФ, золотыми медалями инновационных выставок.</w:t>
      </w:r>
    </w:p>
    <w:p>
      <w:pPr>
        <w:pStyle w:val="style0"/>
        <w:numPr>
          <w:ilvl w:val="0"/>
          <w:numId w:val="1"/>
        </w:numPr>
        <w:tabs>
          <w:tab w:leader="none" w:pos="1287" w:val="left"/>
        </w:tabs>
        <w:spacing w:after="0" w:before="0" w:line="100" w:lineRule="atLeast"/>
        <w:ind w:hanging="360" w:left="1287" w:right="0"/>
        <w:jc w:val="both"/>
      </w:pPr>
      <w:r>
        <w:rPr>
          <w:rFonts w:ascii="Times New Roman" w:hAnsi="Times New Roman"/>
          <w:sz w:val="28"/>
        </w:rPr>
        <w:t>Сформирована и успешно развивается самая передовая в мире научная школа в области компьютерной маломерной топологии.</w:t>
      </w:r>
    </w:p>
    <w:p>
      <w:pPr>
        <w:pStyle w:val="style0"/>
        <w:numPr>
          <w:ilvl w:val="0"/>
          <w:numId w:val="1"/>
        </w:numPr>
        <w:tabs>
          <w:tab w:leader="none" w:pos="1287" w:val="left"/>
        </w:tabs>
        <w:spacing w:after="0" w:before="0" w:line="100" w:lineRule="atLeast"/>
        <w:ind w:hanging="360" w:left="1287" w:right="0"/>
        <w:jc w:val="both"/>
      </w:pPr>
      <w:r>
        <w:rPr>
          <w:rFonts w:ascii="Times New Roman" w:hAnsi="Times New Roman"/>
          <w:sz w:val="28"/>
        </w:rPr>
        <w:t>Суперкомпьютерный класс ЧелГУ эффективно используется в интересах национальной безопасности РФ.</w:t>
      </w:r>
    </w:p>
    <w:p>
      <w:pPr>
        <w:pStyle w:val="style0"/>
        <w:numPr>
          <w:ilvl w:val="0"/>
          <w:numId w:val="1"/>
        </w:numPr>
        <w:tabs>
          <w:tab w:leader="none" w:pos="1287" w:val="left"/>
        </w:tabs>
        <w:spacing w:after="0" w:before="0" w:line="100" w:lineRule="atLeast"/>
        <w:ind w:hanging="360" w:left="1287" w:right="0"/>
        <w:jc w:val="both"/>
      </w:pPr>
      <w:r>
        <w:rPr>
          <w:rFonts w:ascii="Times New Roman" w:hAnsi="Times New Roman"/>
          <w:sz w:val="28"/>
        </w:rPr>
        <w:t>ЧелГУ входит в ТОП-50 российских вузов по индексам цитирования.</w:t>
      </w:r>
    </w:p>
    <w:p>
      <w:pPr>
        <w:pStyle w:val="style0"/>
        <w:numPr>
          <w:ilvl w:val="0"/>
          <w:numId w:val="1"/>
        </w:numPr>
        <w:tabs>
          <w:tab w:leader="none" w:pos="1287" w:val="left"/>
        </w:tabs>
        <w:spacing w:after="0" w:before="0" w:line="100" w:lineRule="atLeast"/>
        <w:ind w:hanging="360" w:left="1287" w:right="0"/>
        <w:jc w:val="both"/>
      </w:pPr>
      <w:r>
        <w:rPr>
          <w:rFonts w:ascii="Times New Roman" w:hAnsi="Times New Roman"/>
          <w:sz w:val="28"/>
        </w:rPr>
        <w:t>Студенческая столовая ЧелГУ в 2013 году признана лучшей среди университетских столовых Челябинской области.</w:t>
      </w:r>
    </w:p>
    <w:p>
      <w:pPr>
        <w:pStyle w:val="style0"/>
        <w:numPr>
          <w:ilvl w:val="0"/>
          <w:numId w:val="1"/>
        </w:numPr>
        <w:tabs>
          <w:tab w:leader="none" w:pos="1287" w:val="left"/>
        </w:tabs>
        <w:spacing w:after="0" w:before="0" w:line="100" w:lineRule="atLeast"/>
        <w:ind w:hanging="360" w:left="1287" w:right="0"/>
        <w:jc w:val="both"/>
      </w:pPr>
      <w:r>
        <w:rPr>
          <w:rFonts w:ascii="Times New Roman" w:hAnsi="Times New Roman"/>
          <w:sz w:val="28"/>
        </w:rPr>
        <w:t>Студенты ЧелГУ постоянно занимают призовые места на российских и международных олимпиадах.</w:t>
      </w:r>
    </w:p>
    <w:p>
      <w:pPr>
        <w:pStyle w:val="style0"/>
        <w:numPr>
          <w:ilvl w:val="0"/>
          <w:numId w:val="1"/>
        </w:numPr>
        <w:tabs>
          <w:tab w:leader="none" w:pos="1287" w:val="left"/>
        </w:tabs>
        <w:spacing w:after="0" w:before="0" w:line="100" w:lineRule="atLeast"/>
        <w:ind w:hanging="360" w:left="1287" w:right="0"/>
        <w:jc w:val="both"/>
      </w:pPr>
      <w:r>
        <w:rPr>
          <w:rFonts w:ascii="Times New Roman" w:hAnsi="Times New Roman"/>
          <w:sz w:val="28"/>
        </w:rPr>
        <w:t>Сформирован уникальный зарубежный учебный комплекс – Костанайский филиал ЧелГУ, лицензированный и аккредитованный РФ и РК, который играет значительную роль в поддержке соотечественников за рубежом, в развитии доброжелательных отношений между Россией и Казахстаном, что в настоящий политический момент особенно важно.</w:t>
      </w:r>
    </w:p>
    <w:p>
      <w:pPr>
        <w:pStyle w:val="style0"/>
        <w:numPr>
          <w:ilvl w:val="0"/>
          <w:numId w:val="1"/>
        </w:numPr>
        <w:tabs>
          <w:tab w:leader="none" w:pos="1287" w:val="left"/>
        </w:tabs>
        <w:spacing w:after="0" w:before="0" w:line="100" w:lineRule="atLeast"/>
        <w:ind w:hanging="360" w:left="1287" w:right="0"/>
        <w:jc w:val="both"/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2013 году ЧелГУ стал лидером по полученным грантам Президента РФ среди всех вузов УрФО (за 2009-2013 гг. учеными и научными коллективами ЧелГУ в рамках различных научных конкурсов получен 131 грант).</w:t>
      </w:r>
    </w:p>
    <w:p>
      <w:pPr>
        <w:pStyle w:val="style0"/>
        <w:numPr>
          <w:ilvl w:val="0"/>
          <w:numId w:val="1"/>
        </w:numPr>
        <w:tabs>
          <w:tab w:leader="none" w:pos="1287" w:val="left"/>
        </w:tabs>
        <w:spacing w:after="0" w:before="0" w:line="100" w:lineRule="atLeast"/>
        <w:ind w:hanging="360" w:left="1287" w:right="0"/>
        <w:jc w:val="both"/>
      </w:pPr>
      <w:r>
        <w:rPr>
          <w:rFonts w:ascii="Times New Roman" w:hAnsi="Times New Roman"/>
          <w:sz w:val="28"/>
        </w:rPr>
        <w:t>ЧелГУ находится на втором месте в УрФО по публикационной активности.</w:t>
      </w:r>
    </w:p>
    <w:p>
      <w:pPr>
        <w:pStyle w:val="style0"/>
        <w:numPr>
          <w:ilvl w:val="0"/>
          <w:numId w:val="1"/>
        </w:numPr>
        <w:tabs>
          <w:tab w:leader="none" w:pos="1287" w:val="left"/>
        </w:tabs>
        <w:spacing w:after="0" w:before="0" w:line="100" w:lineRule="atLeast"/>
        <w:ind w:hanging="360" w:left="1287" w:right="0"/>
        <w:jc w:val="both"/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2013 году Министерством образования и науки Российской Федерации ЧелГУ присвоен статус Федеральной инновационной площадки на 2014-2015гг.</w:t>
      </w:r>
    </w:p>
    <w:p>
      <w:pPr>
        <w:pStyle w:val="style0"/>
        <w:numPr>
          <w:ilvl w:val="0"/>
          <w:numId w:val="1"/>
        </w:numPr>
        <w:tabs>
          <w:tab w:leader="none" w:pos="1287" w:val="left"/>
        </w:tabs>
        <w:spacing w:after="0" w:before="0" w:line="100" w:lineRule="atLeast"/>
        <w:ind w:hanging="360" w:left="1287" w:right="0"/>
        <w:jc w:val="both"/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2014 году ЧелГУ выиграл Мегагрант Правительства РФ на формирование международного центра квантовой топологии, который имеет стратегическое значение.</w:t>
      </w:r>
    </w:p>
    <w:p>
      <w:pPr>
        <w:pStyle w:val="style0"/>
        <w:numPr>
          <w:ilvl w:val="0"/>
          <w:numId w:val="1"/>
        </w:numPr>
        <w:tabs>
          <w:tab w:leader="none" w:pos="1287" w:val="left"/>
        </w:tabs>
        <w:spacing w:after="0" w:before="0" w:line="100" w:lineRule="atLeast"/>
        <w:ind w:hanging="360" w:left="1287" w:right="0"/>
        <w:jc w:val="both"/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Университет является ведущим в РФ региональным центром по образованию лиц с ограниченными возможностями здоровья.</w:t>
      </w:r>
    </w:p>
    <w:p>
      <w:pPr>
        <w:pStyle w:val="style0"/>
        <w:numPr>
          <w:ilvl w:val="0"/>
          <w:numId w:val="1"/>
        </w:numPr>
        <w:tabs>
          <w:tab w:leader="none" w:pos="1287" w:val="left"/>
        </w:tabs>
        <w:spacing w:after="0" w:before="0" w:line="100" w:lineRule="atLeast"/>
        <w:ind w:hanging="360" w:left="1287" w:right="0"/>
        <w:jc w:val="both"/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 независимой оценке экспертов Фонда В. Потанина, студенты ЧелГУ входят в десятку наиболее креативных личностей среди ведущих университетов РФ.</w:t>
      </w:r>
    </w:p>
    <w:p>
      <w:pPr>
        <w:pStyle w:val="style0"/>
        <w:widowControl w:val="false"/>
        <w:spacing w:after="0" w:before="0" w:line="264" w:lineRule="auto"/>
        <w:ind w:firstLine="567" w:left="0" w:right="0"/>
        <w:jc w:val="both"/>
      </w:pPr>
      <w:r>
        <w:rPr>
          <w:rFonts w:ascii="Times New Roman" w:hAnsi="Times New Roman"/>
          <w:sz w:val="28"/>
        </w:rPr>
        <w:t>Перечислять ВСЕ достижения ЧелГУ, наверное, нет необходимости – мы назвали только самые значимые.</w:t>
      </w:r>
    </w:p>
    <w:p>
      <w:pPr>
        <w:pStyle w:val="style0"/>
        <w:widowControl w:val="false"/>
        <w:spacing w:after="0" w:before="0" w:line="264" w:lineRule="auto"/>
        <w:ind w:firstLine="567" w:left="0" w:right="0"/>
        <w:jc w:val="both"/>
      </w:pPr>
      <w:r>
        <w:rPr>
          <w:rFonts w:ascii="Times New Roman" w:hAnsi="Times New Roman"/>
          <w:sz w:val="28"/>
          <w:szCs w:val="28"/>
        </w:rPr>
        <w:t xml:space="preserve">27 </w:t>
      </w:r>
      <w:r>
        <w:rPr>
          <w:rFonts w:ascii="Times New Roman" w:hAnsi="Times New Roman"/>
          <w:sz w:val="28"/>
          <w:szCs w:val="28"/>
        </w:rPr>
        <w:t>марта 2014 г. комиссия Министерства образования и науки Российской Федарации завершила очередную проверку финансово-хозяйственной деятельности ЧелГУ и в очередной раз не выявила серьезных недочетов в работе вуза. Не было выявлено нарушений и при внеплановой проверке Рособрандзора, которая проводилась в университете в марте 2014 года по ранее инициированным жалобам. Считаем, что сам факт серий жалоб является всего лишь одним из способов предвыборной борьбы: в конце весны в ЧелГУ состоятся выборы ректора.</w:t>
      </w:r>
    </w:p>
    <w:p>
      <w:pPr>
        <w:pStyle w:val="style0"/>
        <w:spacing w:after="0" w:before="0" w:line="100" w:lineRule="atLeast"/>
        <w:ind w:firstLine="820" w:left="0" w:right="0"/>
        <w:jc w:val="both"/>
      </w:pPr>
      <w:r>
        <w:rPr>
          <w:rFonts w:ascii="Times New Roman" w:hAnsi="Times New Roman"/>
          <w:sz w:val="28"/>
          <w:szCs w:val="28"/>
        </w:rPr>
        <w:t xml:space="preserve">Ситуация вокруг ЧелГУ и его ректора еще больше обострилась из-за отказа в согласовании А.Ю. Шатина и Д.В. Харитонова в качестве кандидатур на должность ректора. Так как в своем протоколе Аттестационная комиссия не указала причины отказа, можно лишь предполагать, что на решение повлияли, в том числе, негативные публикации в СМИ и анонимные письма, разосланные в органы государственной власти. </w:t>
      </w:r>
    </w:p>
    <w:p>
      <w:pPr>
        <w:pStyle w:val="style0"/>
        <w:spacing w:after="0" w:before="0" w:line="100" w:lineRule="atLeast"/>
        <w:ind w:firstLine="820" w:left="0" w:right="0"/>
        <w:jc w:val="both"/>
      </w:pPr>
      <w:r>
        <w:rPr>
          <w:rFonts w:ascii="Times New Roman" w:hAnsi="Times New Roman"/>
          <w:sz w:val="28"/>
          <w:szCs w:val="28"/>
        </w:rPr>
        <w:t xml:space="preserve">Считаем, что в последние месяцы против действующего руководства вуза нечистоплотная информационная война велась уже целенаправленно. При этом фактических доказательств, документов или иных материалов, подтверждающих нарушение ректором или проректорами закона, представлено так и не было: все обвинения основывались исключительно на домыслах некоей группы, всегда маскировавшейся анонимностью, вымышленными или даже чужими именами, которым выгодно было не допустить до выборов действующего руководителя и проректора по общим вопросам. В этом ряду, например, и обвинения А.Ю. Шатина в нецелевом использовании средств, предназначенных для создания доступной среды для лиц с ограниченными возможностями </w:t>
      </w:r>
      <w:r>
        <w:rPr>
          <w:rFonts w:ascii="Times New Roman" w:hAnsi="Times New Roman"/>
          <w:sz w:val="28"/>
        </w:rPr>
        <w:t>здоровья</w:t>
      </w:r>
      <w:r>
        <w:rPr>
          <w:rFonts w:ascii="Times New Roman" w:hAnsi="Times New Roman"/>
          <w:sz w:val="28"/>
          <w:szCs w:val="28"/>
        </w:rPr>
        <w:t>. Напомним, что по заявленному факту самим ректором была инициирована прокурорская проверка, которая нарушений не выявила.</w:t>
      </w:r>
    </w:p>
    <w:p>
      <w:pPr>
        <w:pStyle w:val="style0"/>
        <w:widowControl w:val="false"/>
        <w:spacing w:after="0" w:before="0" w:line="100" w:lineRule="atLeast"/>
        <w:ind w:firstLine="567" w:left="0" w:right="0"/>
        <w:jc w:val="both"/>
      </w:pPr>
      <w:r>
        <w:rPr>
          <w:rFonts w:ascii="Times New Roman" w:hAnsi="Times New Roman"/>
          <w:sz w:val="28"/>
          <w:szCs w:val="28"/>
        </w:rPr>
        <w:t>Следует отметить, что в сложившейся ситуации ректор ЧелГУ А.Ю. Шатин занимает достойную и взвешенную позицию, основанную исключительно на нормах российского федерального законодательства, что, как нам кажется, для экстремистски настроенных групп неприемлемо и является новым поводом для политических атак на ЧелГУ.</w:t>
      </w:r>
    </w:p>
    <w:p>
      <w:pPr>
        <w:pStyle w:val="style0"/>
        <w:widowControl w:val="false"/>
        <w:spacing w:after="0" w:before="0" w:line="100" w:lineRule="atLeast"/>
        <w:ind w:firstLine="567" w:left="0" w:right="0"/>
        <w:jc w:val="both"/>
      </w:pPr>
      <w:r>
        <w:rPr>
          <w:rFonts w:ascii="Times New Roman" w:hAnsi="Times New Roman"/>
          <w:sz w:val="28"/>
          <w:szCs w:val="28"/>
        </w:rPr>
        <w:t>Мы, нижеподписавшиеся представители коллектива Челябинского государственного университета, работаем в одном из лучших вузов региона, готовим замечательных специалистов для российского и европейского рынков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труда и хотим занимать эти высокие позиции и далее. Мы призываем остановить информационную атаку против вуза. Мы призываем горячие головы подумать о последствиях своих действий и помнить, что в результате их однобоких и непродуманных шагов расшатывается не только система управления образовательным учреждением, но и подрываются позиции ЧелГУ в преддверии грядущей вступительной кампании. Уверены, что нельзя ставить на карту десятилетиями выстраиваемую систему классического высшего образования во имя каких бы то ни было политических и карьерных амбиций. </w:t>
      </w:r>
    </w:p>
    <w:sectPr>
      <w:type w:val="nextPage"/>
      <w:pgSz w:h="16838" w:w="11906"/>
      <w:pgMar w:bottom="720" w:footer="0" w:gutter="0" w:header="0" w:left="720" w:right="720" w:top="720"/>
      <w:pgNumType w:fmt="decimal"/>
      <w:formProt w:val="false"/>
      <w:textDirection w:val="lrTb"/>
      <w:docGrid w:charSpace="214746316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Wingdings 2">
    <w:charset w:val="02"/>
    <w:family w:val="auto"/>
    <w:pitch w:val="default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Text w:val=""/>
      <w:lvlJc w:val="left"/>
      <w:pPr>
        <w:ind w:hanging="360" w:left="720"/>
      </w:pPr>
      <w:rPr>
        <w:rFonts w:ascii="Wingdings 2" w:cs="Wingdings 2" w:hAnsi="Wingdings 2" w:hint="default"/>
      </w:rPr>
    </w:lvl>
    <w:lvl w:ilvl="1">
      <w:start w:val="1"/>
      <w:numFmt w:val="decimal"/>
      <w:lvlText w:val="%2"/>
      <w:lvlJc w:val="left"/>
      <w:pPr>
        <w:ind w:hanging="360" w:left="1080"/>
      </w:pPr>
      <w:rPr/>
    </w:lvl>
    <w:lvl w:ilvl="2">
      <w:start w:val="1"/>
      <w:numFmt w:val="decimal"/>
      <w:lvlText w:val="%2.%3"/>
      <w:lvlJc w:val="left"/>
      <w:pPr>
        <w:ind w:hanging="360" w:left="1440"/>
      </w:pPr>
      <w:rPr/>
    </w:lvl>
    <w:lvl w:ilvl="3">
      <w:start w:val="1"/>
      <w:numFmt w:val="decimal"/>
      <w:lvlText w:val="%2.%3.%4"/>
      <w:lvlJc w:val="left"/>
      <w:pPr>
        <w:ind w:hanging="360" w:left="1800"/>
      </w:pPr>
      <w:rPr/>
    </w:lvl>
    <w:lvl w:ilvl="4">
      <w:start w:val="1"/>
      <w:numFmt w:val="decimal"/>
      <w:lvlText w:val="%2.%3.%4.%5"/>
      <w:lvlJc w:val="left"/>
      <w:pPr>
        <w:ind w:hanging="360" w:left="2160"/>
      </w:pPr>
      <w:rPr/>
    </w:lvl>
    <w:lvl w:ilvl="5">
      <w:start w:val="1"/>
      <w:numFmt w:val="decimal"/>
      <w:lvlText w:val="%2.%3.%4.%5.%6"/>
      <w:lvlJc w:val="left"/>
      <w:pPr>
        <w:ind w:hanging="360" w:left="2520"/>
      </w:pPr>
      <w:rPr/>
    </w:lvl>
    <w:lvl w:ilvl="6">
      <w:start w:val="1"/>
      <w:numFmt w:val="decimal"/>
      <w:lvlText w:val="%2.%3.%4.%5.%6.%7"/>
      <w:lvlJc w:val="left"/>
      <w:pPr>
        <w:ind w:hanging="360" w:left="2880"/>
      </w:pPr>
      <w:rPr/>
    </w:lvl>
    <w:lvl w:ilvl="7">
      <w:start w:val="1"/>
      <w:numFmt w:val="decimal"/>
      <w:lvlText w:val="%2.%3.%4.%5.%6.%7.%8"/>
      <w:lvlJc w:val="left"/>
      <w:pPr>
        <w:ind w:hanging="360" w:left="3240"/>
      </w:pPr>
      <w:rPr/>
    </w:lvl>
    <w:lvl w:ilvl="8">
      <w:start w:val="1"/>
      <w:numFmt w:val="decimal"/>
      <w:lvlText w:val="%2.%3.%4.%5.%6.%7.%8.%9"/>
      <w:lvlJc w:val="left"/>
      <w:pPr>
        <w:ind w:hanging="360" w:left="36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tabs>
        <w:tab w:leader="none" w:pos="708" w:val="left"/>
      </w:tabs>
      <w:suppressAutoHyphens w:val="true"/>
      <w:spacing w:after="200" w:before="0" w:line="276" w:lineRule="auto"/>
    </w:pPr>
    <w:rPr>
      <w:rFonts w:ascii="Calibri" w:cs="Times New Roman" w:eastAsia="Calibri" w:hAnsi="Calibri"/>
      <w:color w:val="auto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Интернет-ссылка"/>
    <w:basedOn w:val="style15"/>
    <w:next w:val="style16"/>
    <w:rPr>
      <w:rFonts w:cs="Times New Roman"/>
      <w:color w:val="0000FF"/>
      <w:u w:val="single"/>
      <w:lang w:bidi="ru-RU" w:eastAsia="ru-RU" w:val="ru-RU"/>
    </w:rPr>
  </w:style>
  <w:style w:styleId="style17" w:type="character">
    <w:name w:val="Верхний колонтитул Знак"/>
    <w:basedOn w:val="style15"/>
    <w:next w:val="style17"/>
    <w:rPr>
      <w:rFonts w:cs="Times New Roman"/>
    </w:rPr>
  </w:style>
  <w:style w:styleId="style18" w:type="character">
    <w:name w:val="Нижний колонтитул Знак"/>
    <w:basedOn w:val="style15"/>
    <w:next w:val="style18"/>
    <w:rPr>
      <w:rFonts w:cs="Times New Roman"/>
    </w:rPr>
  </w:style>
  <w:style w:styleId="style19" w:type="character">
    <w:name w:val="Текст выноски Знак"/>
    <w:basedOn w:val="style15"/>
    <w:next w:val="style19"/>
    <w:rPr>
      <w:rFonts w:ascii="Segoe UI" w:cs="Segoe UI" w:hAnsi="Segoe UI"/>
      <w:sz w:val="18"/>
      <w:szCs w:val="18"/>
    </w:rPr>
  </w:style>
  <w:style w:styleId="style20" w:type="character">
    <w:name w:val="ListLabel 1"/>
    <w:next w:val="style20"/>
    <w:rPr>
      <w:rFonts w:cs="Times New Roman"/>
    </w:rPr>
  </w:style>
  <w:style w:styleId="style21" w:type="paragraph">
    <w:name w:val="Заголовок"/>
    <w:basedOn w:val="style0"/>
    <w:next w:val="style22"/>
    <w:pPr>
      <w:keepNext/>
      <w:spacing w:after="120" w:before="240"/>
    </w:pPr>
    <w:rPr>
      <w:rFonts w:ascii="Arial" w:cs="Mangal" w:eastAsia="Lucida Sans Unicode" w:hAnsi="Arial"/>
      <w:sz w:val="28"/>
      <w:szCs w:val="28"/>
    </w:rPr>
  </w:style>
  <w:style w:styleId="style22" w:type="paragraph">
    <w:name w:val="Основной текст"/>
    <w:basedOn w:val="style0"/>
    <w:next w:val="style22"/>
    <w:pPr>
      <w:spacing w:after="120" w:before="0"/>
    </w:pPr>
    <w:rPr/>
  </w:style>
  <w:style w:styleId="style23" w:type="paragraph">
    <w:name w:val="Список"/>
    <w:basedOn w:val="style22"/>
    <w:next w:val="style23"/>
    <w:pPr/>
    <w:rPr>
      <w:rFonts w:cs="Mangal"/>
    </w:rPr>
  </w:style>
  <w:style w:styleId="style24" w:type="paragraph">
    <w:name w:val="Название"/>
    <w:basedOn w:val="style0"/>
    <w:next w:val="style24"/>
    <w:pPr>
      <w:suppressLineNumbers/>
      <w:spacing w:after="120" w:before="120"/>
    </w:pPr>
    <w:rPr>
      <w:rFonts w:cs="Mangal"/>
      <w:i/>
      <w:iCs/>
      <w:sz w:val="24"/>
      <w:szCs w:val="24"/>
    </w:rPr>
  </w:style>
  <w:style w:styleId="style25" w:type="paragraph">
    <w:name w:val="Указатель"/>
    <w:basedOn w:val="style0"/>
    <w:next w:val="style25"/>
    <w:pPr>
      <w:suppressLineNumbers/>
    </w:pPr>
    <w:rPr>
      <w:rFonts w:cs="Mangal"/>
    </w:rPr>
  </w:style>
  <w:style w:styleId="style26" w:type="paragraph">
    <w:name w:val="Normal (Web)"/>
    <w:basedOn w:val="style0"/>
    <w:next w:val="style26"/>
    <w:pPr>
      <w:spacing w:after="28" w:before="28" w:line="100" w:lineRule="atLeast"/>
    </w:pPr>
    <w:rPr>
      <w:rFonts w:ascii="Times New Roman" w:eastAsia="Times New Roman" w:hAnsi="Times New Roman"/>
      <w:sz w:val="24"/>
      <w:szCs w:val="24"/>
      <w:lang w:eastAsia="ru-RU"/>
    </w:rPr>
  </w:style>
  <w:style w:styleId="style27" w:type="paragraph">
    <w:name w:val="Верхний колонтитул"/>
    <w:basedOn w:val="style0"/>
    <w:next w:val="style27"/>
    <w:pPr>
      <w:suppressLineNumbers/>
      <w:tabs>
        <w:tab w:leader="none" w:pos="4677" w:val="center"/>
        <w:tab w:leader="none" w:pos="9355" w:val="right"/>
      </w:tabs>
      <w:spacing w:after="0" w:before="0" w:line="100" w:lineRule="atLeast"/>
    </w:pPr>
    <w:rPr/>
  </w:style>
  <w:style w:styleId="style28" w:type="paragraph">
    <w:name w:val="Нижний колонтитул"/>
    <w:basedOn w:val="style0"/>
    <w:next w:val="style28"/>
    <w:pPr>
      <w:suppressLineNumbers/>
      <w:tabs>
        <w:tab w:leader="none" w:pos="4677" w:val="center"/>
        <w:tab w:leader="none" w:pos="9355" w:val="right"/>
      </w:tabs>
      <w:spacing w:after="0" w:before="0" w:line="100" w:lineRule="atLeast"/>
    </w:pPr>
    <w:rPr/>
  </w:style>
  <w:style w:styleId="style29" w:type="paragraph">
    <w:name w:val="Balloon Text"/>
    <w:basedOn w:val="style0"/>
    <w:next w:val="style29"/>
    <w:pPr>
      <w:spacing w:after="0" w:before="0" w:line="100" w:lineRule="atLeast"/>
    </w:pPr>
    <w:rPr>
      <w:rFonts w:ascii="Segoe UI" w:cs="Segoe UI" w:hAnsi="Segoe UI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2014-04-04T08:15:00.00Z</dcterms:created>
  <dc:creator>Нина</dc:creator>
  <cp:lastModifiedBy>user</cp:lastModifiedBy>
  <cp:lastPrinted>2014-04-02T09:34:00.00Z</cp:lastPrinted>
  <dcterms:modified xsi:type="dcterms:W3CDTF">2014-04-04T08:15:00.00Z</dcterms:modified>
  <cp:revision>2</cp:revision>
</cp:coreProperties>
</file>